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4190"/>
        <w:gridCol w:w="60"/>
        <w:gridCol w:w="4693"/>
        <w:gridCol w:w="2901"/>
        <w:gridCol w:w="2308"/>
        <w:gridCol w:w="2732"/>
        <w:gridCol w:w="2309"/>
        <w:gridCol w:w="2457"/>
      </w:tblGrid>
      <w:tr w:rsidR="00386F57" w:rsidTr="00386F57">
        <w:trPr>
          <w:gridAfter w:val="4"/>
          <w:wAfter w:w="9806" w:type="dxa"/>
          <w:trHeight w:val="593"/>
        </w:trPr>
        <w:tc>
          <w:tcPr>
            <w:tcW w:w="30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E8344F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344F" w:rsidRPr="00440E56" w:rsidRDefault="00386F57" w:rsidP="0096312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  <w:r w:rsidR="0096312B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PRIJAVE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NE ISPUNJAVAJU PRO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PISANE UVJETE JAVNOG NATJEČAJA 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ZA FINANCIRANJE PROGRAMA I PROJEKATA UDRUGA 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PREVENCIJE NEPRIHVATLJIVOG PONAŠANJA DJECE I MLADEŽI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21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:rsidR="00E8344F" w:rsidRDefault="00E8344F">
            <w:pPr>
              <w:spacing w:after="0" w:line="240" w:lineRule="auto"/>
            </w:pPr>
          </w:p>
        </w:tc>
      </w:tr>
      <w:tr w:rsidR="00386F57" w:rsidTr="00386F57">
        <w:trPr>
          <w:gridAfter w:val="4"/>
          <w:wAfter w:w="9806" w:type="dxa"/>
          <w:trHeight w:val="180"/>
        </w:trPr>
        <w:tc>
          <w:tcPr>
            <w:tcW w:w="30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  <w:tc>
          <w:tcPr>
            <w:tcW w:w="14190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  <w:tc>
          <w:tcPr>
            <w:tcW w:w="4693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  <w:tc>
          <w:tcPr>
            <w:tcW w:w="2901" w:type="dxa"/>
          </w:tcPr>
          <w:p w:rsidR="00E8344F" w:rsidRDefault="00E8344F">
            <w:pPr>
              <w:pStyle w:val="EmptyCellLayoutStyle"/>
              <w:spacing w:after="0" w:line="240" w:lineRule="auto"/>
            </w:pPr>
          </w:p>
        </w:tc>
      </w:tr>
      <w:tr w:rsidR="00386F57" w:rsidTr="00AF7241">
        <w:trPr>
          <w:gridAfter w:val="4"/>
          <w:wAfter w:w="9806" w:type="dxa"/>
          <w:trHeight w:val="340"/>
        </w:trPr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14190" w:type="dxa"/>
            <w:shd w:val="clear" w:color="auto" w:fill="auto"/>
          </w:tcPr>
          <w:p w:rsidR="00386F57" w:rsidRPr="00334185" w:rsidRDefault="00386F57" w:rsidP="00386F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OVAJ POPIS JE OBJAVLJEN NA INTERNETS</w:t>
            </w:r>
            <w:r>
              <w:rPr>
                <w:rFonts w:ascii="Arial" w:hAnsi="Arial" w:cs="Arial"/>
                <w:sz w:val="18"/>
                <w:szCs w:val="18"/>
              </w:rPr>
              <w:t xml:space="preserve">KOJ STRANICI GRADA </w:t>
            </w:r>
            <w:r w:rsidRPr="00334185">
              <w:rPr>
                <w:rFonts w:ascii="Arial" w:hAnsi="Arial" w:cs="Arial"/>
                <w:sz w:val="18"/>
                <w:szCs w:val="18"/>
              </w:rPr>
              <w:t xml:space="preserve">ZAGREBA dana </w:t>
            </w:r>
            <w:r w:rsidR="00DD0B62">
              <w:rPr>
                <w:rFonts w:ascii="Arial" w:hAnsi="Arial" w:cs="Arial"/>
                <w:sz w:val="18"/>
                <w:szCs w:val="18"/>
              </w:rPr>
              <w:t xml:space="preserve">1. lipnja </w:t>
            </w:r>
            <w:r w:rsidRPr="00334185">
              <w:rPr>
                <w:rFonts w:ascii="Arial" w:hAnsi="Arial" w:cs="Arial"/>
                <w:sz w:val="18"/>
                <w:szCs w:val="18"/>
              </w:rPr>
              <w:t>2021.</w:t>
            </w:r>
          </w:p>
          <w:p w:rsidR="00386F57" w:rsidRPr="00334185" w:rsidRDefault="00386F57" w:rsidP="00386F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4185">
              <w:rPr>
                <w:rFonts w:ascii="Arial" w:hAnsi="Arial" w:cs="Arial"/>
                <w:sz w:val="18"/>
                <w:szCs w:val="18"/>
              </w:rPr>
              <w:t xml:space="preserve">ROK ZA PODNOŠENJE PRIGOVORA NA POPIS JE OSAM DANA OD OBJAVE ZAKLJUČNO S </w:t>
            </w:r>
            <w:r w:rsidR="00D775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lipnja</w:t>
            </w:r>
            <w:r w:rsidRPr="00334185">
              <w:rPr>
                <w:rFonts w:ascii="Arial" w:hAnsi="Arial" w:cs="Arial"/>
                <w:sz w:val="18"/>
                <w:szCs w:val="18"/>
              </w:rPr>
              <w:t xml:space="preserve"> 2021.</w:t>
            </w:r>
          </w:p>
          <w:p w:rsidR="00386F57" w:rsidRPr="009E0E57" w:rsidRDefault="00386F57" w:rsidP="00386F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Prigovor se podnosi </w:t>
            </w:r>
            <w:r>
              <w:rPr>
                <w:rFonts w:ascii="Arial" w:hAnsi="Arial" w:cs="Arial"/>
                <w:sz w:val="18"/>
                <w:szCs w:val="18"/>
              </w:rPr>
              <w:t>gradonačelniku G</w:t>
            </w:r>
            <w:r w:rsidRPr="00647648">
              <w:rPr>
                <w:rFonts w:ascii="Arial" w:hAnsi="Arial" w:cs="Arial"/>
                <w:sz w:val="18"/>
                <w:szCs w:val="18"/>
              </w:rPr>
              <w:t xml:space="preserve">rada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47648">
              <w:rPr>
                <w:rFonts w:ascii="Arial" w:hAnsi="Arial" w:cs="Arial"/>
                <w:sz w:val="18"/>
                <w:szCs w:val="18"/>
              </w:rPr>
              <w:t>agreba</w:t>
            </w:r>
            <w:r w:rsidRPr="009E0E57">
              <w:rPr>
                <w:rFonts w:ascii="Arial" w:hAnsi="Arial" w:cs="Arial"/>
                <w:sz w:val="18"/>
                <w:szCs w:val="18"/>
              </w:rPr>
              <w:t>, u pisanom obliku, putem Gradskog ureda za socijalnu zaštitu</w:t>
            </w:r>
            <w:r>
              <w:rPr>
                <w:rFonts w:ascii="Arial" w:hAnsi="Arial" w:cs="Arial"/>
                <w:sz w:val="18"/>
                <w:szCs w:val="18"/>
              </w:rPr>
              <w:t xml:space="preserve"> i osobe s invaliditetom, Trg Stjepana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 Radića 1, 10000 Zagreb</w:t>
            </w:r>
          </w:p>
        </w:tc>
        <w:tc>
          <w:tcPr>
            <w:tcW w:w="6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4693" w:type="dxa"/>
          </w:tcPr>
          <w:p w:rsidR="00386F57" w:rsidRDefault="00386F57" w:rsidP="00386F57">
            <w:pPr>
              <w:spacing w:after="0" w:line="240" w:lineRule="auto"/>
            </w:pPr>
          </w:p>
        </w:tc>
        <w:tc>
          <w:tcPr>
            <w:tcW w:w="2901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</w:tr>
      <w:tr w:rsidR="00386F57" w:rsidTr="00386F57">
        <w:trPr>
          <w:gridAfter w:val="4"/>
          <w:wAfter w:w="9806" w:type="dxa"/>
          <w:trHeight w:val="100"/>
        </w:trPr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1419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4693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901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</w:tr>
      <w:tr w:rsidR="00386F57" w:rsidTr="00386F57"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386F57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97631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386F57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386F57" w:rsidTr="005264E8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Šarena škola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440E56" w:rsidP="0044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„Klikni za sigurnost-projekt usmjeren prevenciji nasilja među mladima i elektroničkog nasilja“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E339EA" w:rsidP="0044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</w:t>
                  </w:r>
                  <w:r w:rsidR="00440E56">
                    <w:rPr>
                      <w:rFonts w:ascii="Arial" w:eastAsia="Arial" w:hAnsi="Arial"/>
                      <w:color w:val="000000"/>
                      <w:sz w:val="18"/>
                    </w:rPr>
                    <w:t>munalne naknade, zakupa i najma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podršku zajednicama, stručnjacima, obitelji, mladima i djeci za kvalitetniji i cjelovitiji život FICE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Internet=sigurno mjesto za djecu i mlade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44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Aktivnosti se ne provode u kalendarskoj godini za k</w:t>
                  </w:r>
                  <w:r w:rsidR="00440E56">
                    <w:rPr>
                      <w:rFonts w:ascii="Arial" w:eastAsia="Arial" w:hAnsi="Arial"/>
                      <w:color w:val="000000"/>
                      <w:sz w:val="18"/>
                    </w:rPr>
                    <w:t>oju je Javni natječaj raspisan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potencijala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Mentis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Kroz kreativnost do samopouzdanja i izvrsnosti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9C02AF" w:rsidP="0044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Dokaz o solventnosti nije potp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isan i ovjeren od strane banke</w:t>
                  </w:r>
                </w:p>
              </w:tc>
            </w:tr>
            <w:tr w:rsidR="00386F57" w:rsidTr="009C02A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MOGU REĆI NEĆU! PREVENCIJA ELEKTRONIČKOG NASILJA U PARTNERSKIM VEZAMA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5012F8" w:rsidP="009C0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bilježnika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F16718" w:rsidP="0044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ispunjen sukladno na njemu navedenim uputama 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 Brusionica talenata"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F16718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obrazac određen natječajem na koji je </w:t>
                  </w:r>
                  <w:r w:rsidR="00DD6196">
                    <w:rPr>
                      <w:rFonts w:ascii="Arial" w:eastAsia="Arial" w:hAnsi="Arial"/>
                      <w:color w:val="000000"/>
                      <w:sz w:val="18"/>
                    </w:rPr>
                    <w:t>pr</w:t>
                  </w:r>
                  <w:r w:rsidR="002C1D1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ogram </w:t>
                  </w:r>
                  <w:r w:rsidR="002C1D1F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ili </w:t>
                  </w:r>
                  <w:r w:rsidR="009726DC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 w:rsidR="00DD6196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 w:rsidR="002C1D1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Glazbene radionice "Radost muziciranja"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2021. nije obrazac određe</w:t>
                  </w:r>
                  <w:r w:rsidR="002C1D1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374CA1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 w:rsidR="002C1D1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Učimo o kvalitetnim odnosima kroz filmsko stvaralaštvo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2021. nije obrazac određen natječajem na koj</w:t>
                  </w:r>
                  <w:r w:rsidR="00B761F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je program ili </w:t>
                  </w:r>
                  <w:r w:rsidR="00DD6196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 w:rsidR="00B661ED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</w:t>
                  </w:r>
                  <w:r w:rsidR="00B761F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je program ili </w:t>
                  </w:r>
                  <w:r w:rsidR="00DD6196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Mijenjajmo svijet medijacijom 2021: podrška školama u jačanju osobnih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djece i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</w:t>
                  </w:r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>škovnika programa ili projekta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"Zajedno uz glazbu"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proofErr w:type="spellStart"/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obrazac određe</w:t>
                  </w:r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</w:t>
                  </w:r>
                  <w:r w:rsidR="002B109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natječajem na koji je program ili </w:t>
                  </w:r>
                  <w:r w:rsidR="00F200A7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Iskustvenim učenjem u prirodi protiv nasilja među djecom i mladima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Nij</w:t>
                  </w:r>
                  <w:r w:rsidR="0043403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 vidljivo je li </w:t>
                  </w:r>
                  <w:r w:rsidR="00F200A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Izjava o nepostojanju dvostrukog financiranja u 2021. obrazac određe</w:t>
                  </w:r>
                  <w:r w:rsidR="00F200A7"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CEREBRALNE I DJEČJE PARALIZE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VirtuS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Virtualni savjetnik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</w:t>
                  </w:r>
                  <w:r w:rsidR="009557FD">
                    <w:rPr>
                      <w:rFonts w:ascii="Arial" w:eastAsia="Arial" w:hAnsi="Arial"/>
                      <w:color w:val="000000"/>
                      <w:sz w:val="18"/>
                    </w:rPr>
                    <w:t>ilježnika</w:t>
                  </w:r>
                  <w:r w:rsidR="009557FD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89607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9607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potvrdu trgovačkog društva Gradsko stambeno - komunalno gospodarstvo d.o.o. o nepostojanju duga s osnove kom</w:t>
                  </w:r>
                  <w:r w:rsidR="00896072">
                    <w:rPr>
                      <w:rFonts w:ascii="Arial" w:eastAsia="Arial" w:hAnsi="Arial"/>
                      <w:color w:val="000000"/>
                      <w:sz w:val="18"/>
                    </w:rPr>
                    <w:t>unalne naknade, zakupa i najma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stenografsko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Ljetna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tipkaonica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896072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Prijava na natječaj ne sadrži sve podatke, troškovnik programa ili projekta nije popu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njen sukladno navedenim uputama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"BOSCO" -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KOŠARKOM ZA BOLJE SUTRA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726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dostavio je uvjerenje da se protiv odgovorne osobe podnositelja prijave/voditelja </w:t>
                  </w:r>
                  <w:r w:rsidR="00726AF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programa ili projekta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vodi kazneni postupak starije od 6 mjeseci od dana objave Javnog natječaja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Mirovna škola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Nenasilna komunikacija kroz umjetnost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9B4F27" w:rsidP="00BC74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prijavljen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A3 - Izjava o partnerstvu nije obrazac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određen natječajem na</w:t>
                  </w:r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koji je program ili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C74D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Ne budi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hejter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spriječi loše riječi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921BCB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9B4F27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9B4F2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Podnositelj pr</w:t>
                  </w:r>
                  <w:r w:rsidR="009B4F2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ijave uz prijavu nije priložio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popis zaposlenih 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Muški rukometni klub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UZ RUKOMET DO TOLERANTNIJEG DRUŠTVA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bilježnika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Osnaženi učitelj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Podnositelj prijave nij</w:t>
                  </w:r>
                  <w:r w:rsidR="00D7363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 priložio dokaz o solventnosti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(BON2/SOL2)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LUCKO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Dečki vole nogomet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ima evidentiran dug s osnove komunalne naknade za poslovni prostor kod</w:t>
                  </w:r>
                  <w:r w:rsidR="00AA1E7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trgovačkog društva GSKG d.o.o.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odbojke za učenike 2.-4. razreda OŠ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odbojke za djecu 5. - 6 razreda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ARTikulacija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umjetnost kao put u prostor sigurnosti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toleracije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zakupa i najma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5.- 6. razreda OŠ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A3 - Izjava o partnerstvu za sve partnere navedene u prijavi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rukometa za učenike od 2 do 4 razreda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A3 - Izjava o partnerstvu za sve partnere navedene u prijavi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PREVENCIJSKO EDUKACIJSKI KAMP ZA DJECU i MLADE „MALA PLANINARSKA ŠKOLA PREŽIVLJAVANJA U PRIRODI“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FE5C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30D9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odnositelj prijave nije dostavio uvjerenje da se protiv odgovorne osobe podnositelja pr</w:t>
                  </w:r>
                  <w:r w:rsidR="00FE5CBE">
                    <w:rPr>
                      <w:rFonts w:ascii="Arial" w:eastAsia="Arial" w:hAnsi="Arial"/>
                      <w:color w:val="000000"/>
                      <w:sz w:val="18"/>
                    </w:rPr>
                    <w:t>ijave ne vodi kazneni postupak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Čigra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tražene podatke – nisu navedene uloge, zadatci i obveze podnositelja prijave i partnera na programu ili projektu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 KLUB "ZAGI"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497671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Besplatna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škola tenisa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10316D" w:rsidP="00FF53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odnositelj prijave nije dostavio uvjerenje da se protiv odgovorne osobe podnositelja prijave ne vodi kazneni </w:t>
                  </w:r>
                  <w:r w:rsidR="00FF538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postupak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za podnošenje prijave na Javne natječaje za financiranje programa i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projekata udruga iz Proračuna Grada Zagreba za 2021., ovjerena kod javnog bilježnika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 dobro - program razvoja znanja i životnih vještina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zakupa i najma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Zdravo i aktivno dijete tijekom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pandemije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COVID-19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nije priložen potpuni popis zaposlenih 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"Sindikat biciklista"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Alternativna mobilnost za mlade 2021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voditelja programa ili projekta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kompetencija, učenje, medijaciju, edukaciju , stručno usavršavanje i savjetovanje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 SAM JA - TO SMO MI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ne sadrži sve tražene podatke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Trka za PET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FA3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Najveći iznos financijskih sredstava koji se može prijaviti i ugovoriti po pojedinom programu ili projektu je </w:t>
                  </w:r>
                  <w:bookmarkStart w:id="0" w:name="_GoBack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.000,00</w:t>
                  </w:r>
                  <w:r w:rsidR="00B4260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7D172E">
                    <w:rPr>
                      <w:rFonts w:ascii="Arial" w:eastAsia="Arial" w:hAnsi="Arial"/>
                      <w:color w:val="000000"/>
                      <w:sz w:val="18"/>
                    </w:rPr>
                    <w:t>kuna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</w:t>
                  </w:r>
                  <w:r w:rsidR="00B4260B">
                    <w:rPr>
                      <w:rFonts w:ascii="Arial" w:eastAsia="Arial" w:hAnsi="Arial"/>
                      <w:color w:val="000000"/>
                      <w:sz w:val="18"/>
                    </w:rPr>
                    <w:t>munalne naknade, zakupa i najma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„Korak po korak“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 program prevencije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B4260B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86F57">
                    <w:rPr>
                      <w:rFonts w:ascii="Arial" w:eastAsia="Arial" w:hAnsi="Arial"/>
                      <w:color w:val="000000"/>
                      <w:sz w:val="18"/>
                    </w:rPr>
                    <w:t>Prijava nije ispunjena sukladno uputama, nije pri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ložen potpuni popis zaposlenih 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skauta Savski gaj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IGRAJMO SE ZDRAVO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troš</w:t>
                  </w:r>
                  <w:r w:rsidR="00777B50">
                    <w:rPr>
                      <w:rFonts w:ascii="Arial" w:eastAsia="Arial" w:hAnsi="Arial"/>
                      <w:color w:val="000000"/>
                      <w:sz w:val="18"/>
                    </w:rPr>
                    <w:t>kovnika programa ili projekta</w:t>
                  </w:r>
                  <w:r w:rsidR="00777B50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777B50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77B5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jednog od voditelja programa ili projekta nije obrazac određe</w:t>
                  </w:r>
                  <w:r w:rsidR="00777B5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</w:p>
              </w:tc>
            </w:tr>
            <w:tr w:rsidR="00386F5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sudaca Zagrebačkog odbojkaškog saveza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Žuti za alkohol i cigarete, crveni za vandalizam!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nadležne porezne uprave o nepostojanju duga prema državnom proračunu</w:t>
                  </w:r>
                </w:p>
              </w:tc>
            </w:tr>
          </w:tbl>
          <w:p w:rsidR="00386F57" w:rsidRDefault="00386F57" w:rsidP="00386F57">
            <w:pPr>
              <w:spacing w:after="0" w:line="240" w:lineRule="auto"/>
            </w:pPr>
          </w:p>
        </w:tc>
        <w:tc>
          <w:tcPr>
            <w:tcW w:w="2308" w:type="dxa"/>
          </w:tcPr>
          <w:p w:rsidR="00386F57" w:rsidRDefault="00386F57" w:rsidP="00386F57"/>
        </w:tc>
        <w:tc>
          <w:tcPr>
            <w:tcW w:w="2732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457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</w:tr>
      <w:tr w:rsidR="00386F57" w:rsidTr="00386F57"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p w:rsidR="00386F57" w:rsidRDefault="00386F57" w:rsidP="00386F5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</w:p>
        </w:tc>
        <w:tc>
          <w:tcPr>
            <w:tcW w:w="2308" w:type="dxa"/>
          </w:tcPr>
          <w:p w:rsidR="00386F57" w:rsidRDefault="00386F57" w:rsidP="00386F57"/>
        </w:tc>
        <w:tc>
          <w:tcPr>
            <w:tcW w:w="273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386F57" w:rsidTr="00B93C2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386F57" w:rsidRDefault="00386F57" w:rsidP="00386F57">
            <w:pPr>
              <w:spacing w:after="0" w:line="240" w:lineRule="auto"/>
            </w:pPr>
          </w:p>
        </w:tc>
        <w:tc>
          <w:tcPr>
            <w:tcW w:w="2309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4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7"/>
            </w:tblGrid>
            <w:tr w:rsidR="00386F57" w:rsidTr="00B93C22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</w:p>
              </w:tc>
            </w:tr>
          </w:tbl>
          <w:p w:rsidR="00386F57" w:rsidRDefault="00386F57" w:rsidP="00386F57">
            <w:pPr>
              <w:spacing w:after="0" w:line="240" w:lineRule="auto"/>
            </w:pPr>
          </w:p>
        </w:tc>
      </w:tr>
      <w:tr w:rsidR="00386F57" w:rsidTr="00386F57"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p w:rsidR="00386F57" w:rsidRDefault="00386F57" w:rsidP="00440E56">
            <w:pPr>
              <w:tabs>
                <w:tab w:val="left" w:pos="5085"/>
              </w:tabs>
              <w:spacing w:after="0" w:line="240" w:lineRule="auto"/>
              <w:rPr>
                <w:rFonts w:ascii="Arial" w:eastAsia="Arial" w:hAnsi="Arial"/>
                <w:b/>
                <w:color w:val="FFFFFF"/>
                <w:sz w:val="18"/>
              </w:rPr>
            </w:pPr>
          </w:p>
        </w:tc>
        <w:tc>
          <w:tcPr>
            <w:tcW w:w="2308" w:type="dxa"/>
          </w:tcPr>
          <w:p w:rsidR="00386F57" w:rsidRDefault="00386F57" w:rsidP="00386F57"/>
        </w:tc>
        <w:tc>
          <w:tcPr>
            <w:tcW w:w="2732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457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</w:tr>
      <w:tr w:rsidR="00386F57" w:rsidTr="00386F57"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p w:rsidR="00386F57" w:rsidRDefault="00386F57" w:rsidP="00386F5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</w:p>
        </w:tc>
        <w:tc>
          <w:tcPr>
            <w:tcW w:w="2308" w:type="dxa"/>
          </w:tcPr>
          <w:p w:rsidR="00386F57" w:rsidRDefault="00386F57" w:rsidP="00386F57"/>
        </w:tc>
        <w:tc>
          <w:tcPr>
            <w:tcW w:w="273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386F57" w:rsidTr="00B93C2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6F57" w:rsidRDefault="00386F57" w:rsidP="00386F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386F57" w:rsidRDefault="00386F57" w:rsidP="00386F57">
            <w:pPr>
              <w:spacing w:after="0" w:line="240" w:lineRule="auto"/>
            </w:pPr>
          </w:p>
        </w:tc>
        <w:tc>
          <w:tcPr>
            <w:tcW w:w="2309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457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</w:tr>
      <w:tr w:rsidR="00386F57" w:rsidTr="00386F57">
        <w:tc>
          <w:tcPr>
            <w:tcW w:w="30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1844" w:type="dxa"/>
            <w:gridSpan w:val="4"/>
          </w:tcPr>
          <w:p w:rsidR="00386F57" w:rsidRDefault="00386F57" w:rsidP="00386F5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</w:p>
        </w:tc>
        <w:tc>
          <w:tcPr>
            <w:tcW w:w="2308" w:type="dxa"/>
          </w:tcPr>
          <w:p w:rsidR="00386F57" w:rsidRDefault="00386F57" w:rsidP="00386F57"/>
        </w:tc>
        <w:tc>
          <w:tcPr>
            <w:tcW w:w="2732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</w:tcPr>
          <w:p w:rsidR="00386F57" w:rsidRDefault="00386F57" w:rsidP="00386F57">
            <w:pPr>
              <w:pStyle w:val="EmptyCellLayoutStyle"/>
              <w:spacing w:after="0" w:line="240" w:lineRule="auto"/>
            </w:pPr>
          </w:p>
        </w:tc>
        <w:tc>
          <w:tcPr>
            <w:tcW w:w="2457" w:type="dxa"/>
          </w:tcPr>
          <w:p w:rsidR="00386F57" w:rsidRDefault="00386F57" w:rsidP="00386F57">
            <w:pPr>
              <w:spacing w:after="0" w:line="240" w:lineRule="auto"/>
            </w:pPr>
          </w:p>
        </w:tc>
      </w:tr>
    </w:tbl>
    <w:p w:rsidR="00E8344F" w:rsidRDefault="00E8344F">
      <w:pPr>
        <w:spacing w:after="0" w:line="240" w:lineRule="auto"/>
      </w:pPr>
    </w:p>
    <w:sectPr w:rsidR="00E8344F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5D" w:rsidRDefault="0097005D">
      <w:pPr>
        <w:spacing w:after="0" w:line="240" w:lineRule="auto"/>
      </w:pPr>
      <w:r>
        <w:separator/>
      </w:r>
    </w:p>
  </w:endnote>
  <w:endnote w:type="continuationSeparator" w:id="0">
    <w:p w:rsidR="0097005D" w:rsidRDefault="0097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E8344F">
      <w:tc>
        <w:tcPr>
          <w:tcW w:w="608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</w:tr>
    <w:tr w:rsidR="00E8344F">
      <w:tc>
        <w:tcPr>
          <w:tcW w:w="608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E8344F" w:rsidRDefault="00E8344F">
          <w:pPr>
            <w:spacing w:after="0" w:line="240" w:lineRule="auto"/>
          </w:pPr>
        </w:p>
      </w:tc>
    </w:tr>
    <w:tr w:rsidR="00E8344F">
      <w:tc>
        <w:tcPr>
          <w:tcW w:w="6089" w:type="dxa"/>
          <w:vMerge w:val="restart"/>
        </w:tcPr>
        <w:p w:rsidR="00E8344F" w:rsidRDefault="00E8344F">
          <w:pPr>
            <w:spacing w:after="0" w:line="240" w:lineRule="auto"/>
          </w:pPr>
        </w:p>
      </w:tc>
      <w:tc>
        <w:tcPr>
          <w:tcW w:w="626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E8344F" w:rsidRDefault="00E8344F">
          <w:pPr>
            <w:pStyle w:val="EmptyCellLayoutStyle"/>
            <w:spacing w:after="0" w:line="240" w:lineRule="auto"/>
          </w:pPr>
        </w:p>
      </w:tc>
    </w:tr>
    <w:tr w:rsidR="00E8344F">
      <w:tc>
        <w:tcPr>
          <w:tcW w:w="6089" w:type="dxa"/>
          <w:vMerge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</w:tr>
    <w:tr w:rsidR="00E8344F">
      <w:tc>
        <w:tcPr>
          <w:tcW w:w="608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344F" w:rsidRDefault="00E8344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5D" w:rsidRDefault="0097005D">
      <w:pPr>
        <w:spacing w:after="0" w:line="240" w:lineRule="auto"/>
      </w:pPr>
      <w:r>
        <w:separator/>
      </w:r>
    </w:p>
  </w:footnote>
  <w:footnote w:type="continuationSeparator" w:id="0">
    <w:p w:rsidR="0097005D" w:rsidRDefault="0097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F"/>
    <w:rsid w:val="0010316D"/>
    <w:rsid w:val="002B1098"/>
    <w:rsid w:val="002C1D1F"/>
    <w:rsid w:val="002D57DF"/>
    <w:rsid w:val="00374CA1"/>
    <w:rsid w:val="00386F57"/>
    <w:rsid w:val="003B0C71"/>
    <w:rsid w:val="004329B2"/>
    <w:rsid w:val="0043403C"/>
    <w:rsid w:val="00440E56"/>
    <w:rsid w:val="004451AE"/>
    <w:rsid w:val="00497671"/>
    <w:rsid w:val="005012F8"/>
    <w:rsid w:val="005264E8"/>
    <w:rsid w:val="00530D97"/>
    <w:rsid w:val="00695491"/>
    <w:rsid w:val="00726AFD"/>
    <w:rsid w:val="00777B50"/>
    <w:rsid w:val="007D172E"/>
    <w:rsid w:val="00896072"/>
    <w:rsid w:val="00921BCB"/>
    <w:rsid w:val="009557FD"/>
    <w:rsid w:val="0096312B"/>
    <w:rsid w:val="0097005D"/>
    <w:rsid w:val="009726DC"/>
    <w:rsid w:val="00976317"/>
    <w:rsid w:val="009B4F27"/>
    <w:rsid w:val="009C02AF"/>
    <w:rsid w:val="00A32B8C"/>
    <w:rsid w:val="00A7651C"/>
    <w:rsid w:val="00AA1E76"/>
    <w:rsid w:val="00B4260B"/>
    <w:rsid w:val="00B661ED"/>
    <w:rsid w:val="00B761F2"/>
    <w:rsid w:val="00BC74D5"/>
    <w:rsid w:val="00C55918"/>
    <w:rsid w:val="00C56F1A"/>
    <w:rsid w:val="00D73630"/>
    <w:rsid w:val="00D775C8"/>
    <w:rsid w:val="00DD0B62"/>
    <w:rsid w:val="00DD6196"/>
    <w:rsid w:val="00E0437A"/>
    <w:rsid w:val="00E339EA"/>
    <w:rsid w:val="00E8344F"/>
    <w:rsid w:val="00EC5451"/>
    <w:rsid w:val="00F16718"/>
    <w:rsid w:val="00F200A7"/>
    <w:rsid w:val="00FA3513"/>
    <w:rsid w:val="00FC6A33"/>
    <w:rsid w:val="00FE5CBE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7FB1"/>
  <w15:docId w15:val="{24E08568-A46A-4B09-921E-76758A40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5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57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1"/>
  </w:style>
  <w:style w:type="paragraph" w:styleId="Footer">
    <w:name w:val="footer"/>
    <w:basedOn w:val="Normal"/>
    <w:link w:val="FooterChar"/>
    <w:uiPriority w:val="99"/>
    <w:unhideWhenUsed/>
    <w:rsid w:val="003B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43</cp:revision>
  <cp:lastPrinted>2021-06-01T12:41:00Z</cp:lastPrinted>
  <dcterms:created xsi:type="dcterms:W3CDTF">2021-05-25T13:29:00Z</dcterms:created>
  <dcterms:modified xsi:type="dcterms:W3CDTF">2021-06-01T13:18:00Z</dcterms:modified>
</cp:coreProperties>
</file>